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2ABC2E18"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sidRPr="0025294C">
              <w:rPr>
                <w:rFonts w:asciiTheme="majorHAnsi" w:hAnsiTheme="majorHAnsi" w:cs="Arial"/>
                <w:b/>
                <w:sz w:val="18"/>
                <w:szCs w:val="18"/>
              </w:rPr>
              <w:t>Application of software packages in chemistry</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6506A2DB"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1CC3E2C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294C">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21DEC4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294C">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FD6249">
                    <w:rPr>
                      <w:rFonts w:asciiTheme="majorHAnsi" w:hAnsiTheme="majorHAnsi" w:cs="Arial"/>
                      <w:b/>
                      <w:sz w:val="18"/>
                      <w:szCs w:val="18"/>
                    </w:rPr>
                  </w:r>
                  <w:r w:rsidR="00FD624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1CBBCCF6"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Pr>
                <w:rFonts w:asciiTheme="majorHAnsi" w:hAnsiTheme="majorHAnsi"/>
                <w:b/>
                <w:sz w:val="18"/>
                <w:szCs w:val="18"/>
              </w:rPr>
              <w:t>No</w:t>
            </w:r>
            <w:r w:rsidR="0025294C" w:rsidRPr="0025294C">
              <w:rPr>
                <w:rFonts w:asciiTheme="majorHAnsi" w:hAnsiTheme="majorHAnsi"/>
                <w:b/>
                <w:sz w:val="18"/>
                <w:szCs w:val="18"/>
              </w:rPr>
              <w:t xml:space="preserve"> prerequisites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01328B2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sidRPr="0025294C">
              <w:rPr>
                <w:rFonts w:asciiTheme="majorHAnsi" w:hAnsiTheme="majorHAnsi"/>
                <w:b/>
                <w:sz w:val="18"/>
                <w:szCs w:val="18"/>
              </w:rPr>
              <w:t>Faculty of Science and Mathematics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7F887DA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27F77D8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5C98A87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4745C6E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6783F56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746132E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Pr>
                <w:rFonts w:asciiTheme="majorHAnsi" w:hAnsiTheme="majorHAnsi" w:cs="Arial"/>
                <w:b/>
                <w:sz w:val="18"/>
                <w:szCs w:val="18"/>
              </w:rPr>
              <w:t>93.85</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4C6A939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5294C">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6E5AE0B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Pr>
                <w:rFonts w:asciiTheme="majorHAnsi" w:hAnsiTheme="majorHAnsi" w:cs="Arial"/>
                <w:b/>
                <w:sz w:val="18"/>
                <w:szCs w:val="18"/>
              </w:rPr>
              <w:t>138.85</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8DFAF4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w:t>
            </w:r>
            <w:r w:rsidR="0025294C" w:rsidRPr="0025294C">
              <w:rPr>
                <w:rFonts w:asciiTheme="majorHAnsi" w:hAnsiTheme="majorHAnsi" w:cs="Arial"/>
                <w:b/>
                <w:sz w:val="18"/>
                <w:szCs w:val="18"/>
              </w:rPr>
              <w:t>Chemistry/Applied Chemistry</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2F9E793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5294C">
              <w:rPr>
                <w:rFonts w:asciiTheme="majorHAnsi" w:hAnsiTheme="majorHAnsi" w:cs="Arial"/>
                <w:b/>
                <w:sz w:val="18"/>
                <w:szCs w:val="18"/>
              </w:rPr>
              <w:t>Majda Srabović</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C44FA6" w14:textId="17CFD40D"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sidRPr="0025294C">
              <w:rPr>
                <w:rFonts w:asciiTheme="majorHAnsi" w:hAnsiTheme="majorHAnsi" w:cs="Arial"/>
                <w:b/>
                <w:sz w:val="18"/>
                <w:szCs w:val="18"/>
              </w:rPr>
              <w:t>Introducing students to the application of software packages relevant to chemistry. Training students to find the necessary information in chemistry. The course includes searching chemical databases as well as using specific programs that are of interest in the field of chemistry</w:t>
            </w:r>
            <w:r w:rsidR="0025294C">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550D2239"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sidRPr="0025294C">
              <w:rPr>
                <w:rFonts w:asciiTheme="majorHAnsi" w:hAnsiTheme="majorHAnsi" w:cs="Arial"/>
                <w:b/>
                <w:sz w:val="18"/>
                <w:szCs w:val="18"/>
              </w:rPr>
              <w:t>At the end of the semester, successful students who have continuously fulfilled their obligations throughout the course will be able to independently perform tasks that require drawing various chemical structures, molecules, laboratory equipment, and glassware. They will be capable of independently carrying out basic operations for searching chemical databases, as well as independently preparing examples of final papers with the ability to illustrate chemical reactions, diagrams, equations, and tables using appropriate chemistry software.</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4A08AC7" w14:textId="526823B5" w:rsidR="0025294C" w:rsidRPr="0025294C" w:rsidRDefault="006D5B9B" w:rsidP="002529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Pr>
                <w:rFonts w:asciiTheme="majorHAnsi" w:hAnsiTheme="majorHAnsi" w:cs="Arial"/>
                <w:b/>
                <w:sz w:val="18"/>
                <w:szCs w:val="18"/>
              </w:rPr>
              <w:t>I</w:t>
            </w:r>
            <w:r w:rsidR="0025294C" w:rsidRPr="0025294C">
              <w:rPr>
                <w:rFonts w:asciiTheme="majorHAnsi" w:hAnsiTheme="majorHAnsi" w:cs="Arial"/>
                <w:b/>
                <w:sz w:val="18"/>
                <w:szCs w:val="18"/>
              </w:rPr>
              <w:t>ntroduction to the Application of Computers in Chemistry</w:t>
            </w:r>
            <w:r w:rsidR="0025294C">
              <w:rPr>
                <w:rFonts w:asciiTheme="majorHAnsi" w:hAnsiTheme="majorHAnsi" w:cs="Arial"/>
                <w:b/>
                <w:sz w:val="18"/>
                <w:szCs w:val="18"/>
              </w:rPr>
              <w:t xml:space="preserve">  , </w:t>
            </w:r>
            <w:r w:rsidR="0025294C" w:rsidRPr="0025294C">
              <w:rPr>
                <w:rFonts w:asciiTheme="majorHAnsi" w:hAnsiTheme="majorHAnsi" w:cs="Arial"/>
                <w:b/>
                <w:sz w:val="18"/>
                <w:szCs w:val="18"/>
              </w:rPr>
              <w:t>Information Technologies and Computerization in chemistry.</w:t>
            </w:r>
          </w:p>
          <w:p w14:paraId="1EF5B2B4" w14:textId="185A2CDF" w:rsidR="0025294C" w:rsidRPr="0025294C" w:rsidRDefault="0025294C" w:rsidP="0025294C">
            <w:pPr>
              <w:pStyle w:val="NoSpacing"/>
              <w:rPr>
                <w:rFonts w:asciiTheme="majorHAnsi" w:hAnsiTheme="majorHAnsi" w:cs="Arial"/>
                <w:b/>
                <w:sz w:val="18"/>
                <w:szCs w:val="18"/>
              </w:rPr>
            </w:pPr>
            <w:r w:rsidRPr="0025294C">
              <w:rPr>
                <w:rFonts w:asciiTheme="majorHAnsi" w:hAnsiTheme="majorHAnsi" w:cs="Arial"/>
                <w:b/>
                <w:sz w:val="18"/>
                <w:szCs w:val="18"/>
              </w:rPr>
              <w:t>ChemDraw Ultra</w:t>
            </w:r>
            <w:r>
              <w:rPr>
                <w:rFonts w:asciiTheme="majorHAnsi" w:hAnsiTheme="majorHAnsi" w:cs="Arial"/>
                <w:b/>
                <w:sz w:val="18"/>
                <w:szCs w:val="18"/>
              </w:rPr>
              <w:t xml:space="preserve"> </w:t>
            </w:r>
            <w:r w:rsidRPr="0025294C">
              <w:rPr>
                <w:rFonts w:asciiTheme="majorHAnsi" w:hAnsiTheme="majorHAnsi" w:cs="Arial"/>
                <w:b/>
                <w:sz w:val="18"/>
                <w:szCs w:val="18"/>
              </w:rPr>
              <w:t>Basics of ChemDraw.</w:t>
            </w:r>
            <w:r>
              <w:rPr>
                <w:rFonts w:asciiTheme="majorHAnsi" w:hAnsiTheme="majorHAnsi" w:cs="Arial"/>
                <w:b/>
                <w:sz w:val="18"/>
                <w:szCs w:val="18"/>
              </w:rPr>
              <w:t xml:space="preserve"> </w:t>
            </w:r>
            <w:r w:rsidRPr="0025294C">
              <w:rPr>
                <w:rFonts w:asciiTheme="majorHAnsi" w:hAnsiTheme="majorHAnsi" w:cs="Arial"/>
                <w:b/>
                <w:sz w:val="18"/>
                <w:szCs w:val="18"/>
              </w:rPr>
              <w:t>Drawing basic chemical structures, Fischer projections, Haworth and Newman structures.Representation of C-NMR and H-NMR spectra using ChemDraw.Display of TLC chromatography results for given compounds.Chem3D</w:t>
            </w:r>
            <w:r>
              <w:rPr>
                <w:rFonts w:asciiTheme="majorHAnsi" w:hAnsiTheme="majorHAnsi" w:cs="Arial"/>
                <w:b/>
                <w:sz w:val="18"/>
                <w:szCs w:val="18"/>
              </w:rPr>
              <w:t xml:space="preserve"> </w:t>
            </w:r>
            <w:r w:rsidRPr="0025294C">
              <w:rPr>
                <w:rFonts w:asciiTheme="majorHAnsi" w:hAnsiTheme="majorHAnsi" w:cs="Arial"/>
                <w:b/>
                <w:sz w:val="18"/>
                <w:szCs w:val="18"/>
              </w:rPr>
              <w:t>Molecular mechanics optimization methods.ChemFinder Ultra</w:t>
            </w:r>
            <w:r>
              <w:rPr>
                <w:rFonts w:asciiTheme="majorHAnsi" w:hAnsiTheme="majorHAnsi" w:cs="Arial"/>
                <w:b/>
                <w:sz w:val="18"/>
                <w:szCs w:val="18"/>
              </w:rPr>
              <w:t xml:space="preserve"> </w:t>
            </w:r>
            <w:r w:rsidRPr="0025294C">
              <w:rPr>
                <w:rFonts w:asciiTheme="majorHAnsi" w:hAnsiTheme="majorHAnsi" w:cs="Arial"/>
                <w:b/>
                <w:sz w:val="18"/>
                <w:szCs w:val="18"/>
              </w:rPr>
              <w:t>Information sources, how to access information, and Internet search engines.Primary, secondary, and tertiary literature.Searching scientific literature.</w:t>
            </w:r>
          </w:p>
          <w:p w14:paraId="3BB9811F" w14:textId="57E2B79A" w:rsidR="00CB72ED" w:rsidRPr="00B96B4F" w:rsidRDefault="0025294C" w:rsidP="0025294C">
            <w:pPr>
              <w:pStyle w:val="NoSpacing"/>
              <w:rPr>
                <w:rFonts w:asciiTheme="majorHAnsi" w:hAnsiTheme="majorHAnsi" w:cs="Arial"/>
                <w:b/>
                <w:sz w:val="18"/>
                <w:szCs w:val="18"/>
              </w:rPr>
            </w:pPr>
            <w:r w:rsidRPr="0025294C">
              <w:rPr>
                <w:rFonts w:asciiTheme="majorHAnsi" w:hAnsiTheme="majorHAnsi" w:cs="Arial"/>
                <w:b/>
                <w:sz w:val="18"/>
                <w:szCs w:val="18"/>
              </w:rPr>
              <w:t>Searching chemical databases (e.g., ISI Web of Science, ScienceDirect, CAS).Scientific and Technical Writing</w:t>
            </w:r>
            <w:r>
              <w:rPr>
                <w:rFonts w:asciiTheme="majorHAnsi" w:hAnsiTheme="majorHAnsi" w:cs="Arial"/>
                <w:b/>
                <w:sz w:val="18"/>
                <w:szCs w:val="18"/>
              </w:rPr>
              <w:t xml:space="preserve"> </w:t>
            </w:r>
            <w:r w:rsidRPr="0025294C">
              <w:rPr>
                <w:rFonts w:asciiTheme="majorHAnsi" w:hAnsiTheme="majorHAnsi" w:cs="Arial"/>
                <w:b/>
                <w:sz w:val="18"/>
                <w:szCs w:val="18"/>
              </w:rPr>
              <w:t>Writing scientific and technical papers, including literature citation methods.Chemical Databases</w:t>
            </w:r>
            <w:r>
              <w:rPr>
                <w:rFonts w:asciiTheme="majorHAnsi" w:hAnsiTheme="majorHAnsi" w:cs="Arial"/>
                <w:b/>
                <w:sz w:val="18"/>
                <w:szCs w:val="18"/>
              </w:rPr>
              <w:t xml:space="preserve"> . </w:t>
            </w:r>
            <w:r w:rsidRPr="0025294C">
              <w:rPr>
                <w:rFonts w:asciiTheme="majorHAnsi" w:hAnsiTheme="majorHAnsi" w:cs="Arial"/>
                <w:b/>
                <w:sz w:val="18"/>
                <w:szCs w:val="18"/>
              </w:rPr>
              <w:t>Databases containing spectral data of chemical substances (e.g., NIST, SDBS Spectral Database).Databases providing information on chemical properties, hazards, and toxicity (e.g., MSDS, Chemical Book).Databases offering access to chemical structures and nomenclature (e.g., IUPAC nomenclature, ChemIDplus Advances).Other Software Packages of Interest in Chemistry</w:t>
            </w:r>
            <w:r>
              <w:rPr>
                <w:rFonts w:asciiTheme="majorHAnsi" w:hAnsiTheme="majorHAnsi" w:cs="Arial"/>
                <w:b/>
                <w:sz w:val="18"/>
                <w:szCs w:val="18"/>
              </w:rPr>
              <w:t xml:space="preserve"> . </w:t>
            </w:r>
            <w:r w:rsidRPr="0025294C">
              <w:rPr>
                <w:rFonts w:asciiTheme="majorHAnsi" w:hAnsiTheme="majorHAnsi" w:cs="Arial"/>
                <w:b/>
                <w:sz w:val="18"/>
                <w:szCs w:val="18"/>
              </w:rPr>
              <w:t>IsisDraw, ChemSketch, and other relevant chemical software tools.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2CD884C" w14:textId="77777777" w:rsidR="0025294C" w:rsidRPr="0025294C" w:rsidRDefault="006D5B9B" w:rsidP="002529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5294C" w:rsidRPr="0025294C">
              <w:rPr>
                <w:rFonts w:asciiTheme="majorHAnsi" w:hAnsiTheme="majorHAnsi" w:cs="Arial"/>
                <w:b/>
                <w:sz w:val="18"/>
                <w:szCs w:val="18"/>
              </w:rPr>
              <w:t>In order to conduct the course effectively and achieve the expected learning outcomes and student competencies by the end of the semester, various teaching methods are used:</w:t>
            </w:r>
          </w:p>
          <w:p w14:paraId="7DCEAE80" w14:textId="77777777" w:rsidR="0025294C" w:rsidRPr="0025294C" w:rsidRDefault="0025294C" w:rsidP="0025294C">
            <w:pPr>
              <w:pStyle w:val="NoSpacing"/>
              <w:rPr>
                <w:rFonts w:asciiTheme="majorHAnsi" w:hAnsiTheme="majorHAnsi" w:cs="Arial"/>
                <w:b/>
                <w:sz w:val="18"/>
                <w:szCs w:val="18"/>
              </w:rPr>
            </w:pPr>
            <w:r w:rsidRPr="0025294C">
              <w:rPr>
                <w:rFonts w:asciiTheme="majorHAnsi" w:hAnsiTheme="majorHAnsi" w:cs="Arial"/>
                <w:b/>
                <w:sz w:val="18"/>
                <w:szCs w:val="18"/>
              </w:rPr>
              <w:t>Lectures (L) with the use of multimedia tools, active learning techniques, and active student participation;</w:t>
            </w:r>
          </w:p>
          <w:p w14:paraId="69724147" w14:textId="77777777" w:rsidR="0025294C" w:rsidRPr="0025294C" w:rsidRDefault="0025294C" w:rsidP="0025294C">
            <w:pPr>
              <w:pStyle w:val="NoSpacing"/>
              <w:rPr>
                <w:rFonts w:asciiTheme="majorHAnsi" w:hAnsiTheme="majorHAnsi" w:cs="Arial"/>
                <w:b/>
                <w:sz w:val="18"/>
                <w:szCs w:val="18"/>
              </w:rPr>
            </w:pPr>
            <w:r w:rsidRPr="0025294C">
              <w:rPr>
                <w:rFonts w:asciiTheme="majorHAnsi" w:hAnsiTheme="majorHAnsi" w:cs="Arial"/>
                <w:b/>
                <w:sz w:val="18"/>
                <w:szCs w:val="18"/>
              </w:rPr>
              <w:t>Individual seminar papers;</w:t>
            </w:r>
          </w:p>
          <w:p w14:paraId="47D36B24" w14:textId="15FB675A" w:rsidR="00CB72ED" w:rsidRPr="00B96B4F" w:rsidRDefault="0025294C" w:rsidP="0025294C">
            <w:pPr>
              <w:pStyle w:val="NoSpacing"/>
              <w:rPr>
                <w:rFonts w:asciiTheme="majorHAnsi" w:hAnsiTheme="majorHAnsi" w:cs="Arial"/>
                <w:b/>
                <w:sz w:val="18"/>
                <w:szCs w:val="18"/>
              </w:rPr>
            </w:pPr>
            <w:r w:rsidRPr="0025294C">
              <w:rPr>
                <w:rFonts w:asciiTheme="majorHAnsi" w:hAnsiTheme="majorHAnsi" w:cs="Arial"/>
                <w:b/>
                <w:sz w:val="18"/>
                <w:szCs w:val="18"/>
              </w:rPr>
              <w:t>Consultations.</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056F83E" w14:textId="27339EF4" w:rsidR="00E37B2F" w:rsidRPr="00E37B2F" w:rsidRDefault="006D5B9B" w:rsidP="00E37B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7B2F" w:rsidRPr="00E37B2F">
              <w:rPr>
                <w:rFonts w:asciiTheme="majorHAnsi" w:hAnsiTheme="majorHAnsi" w:cs="Arial"/>
                <w:b/>
                <w:sz w:val="18"/>
                <w:szCs w:val="18"/>
              </w:rPr>
              <w:t>Practical work, seminar, final exam, and make-up exams.</w:t>
            </w:r>
          </w:p>
          <w:p w14:paraId="064EA524" w14:textId="108C8C9C" w:rsidR="00E11D98"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During the semester, students complete practical work, which carries a maximum of 30 points.</w:t>
            </w:r>
            <w:r>
              <w:rPr>
                <w:rFonts w:asciiTheme="majorHAnsi" w:hAnsiTheme="majorHAnsi" w:cs="Arial"/>
                <w:b/>
                <w:sz w:val="18"/>
                <w:szCs w:val="18"/>
              </w:rPr>
              <w:t xml:space="preserve"> </w:t>
            </w:r>
            <w:r w:rsidRPr="00E37B2F">
              <w:rPr>
                <w:rFonts w:asciiTheme="majorHAnsi" w:hAnsiTheme="majorHAnsi" w:cs="Arial"/>
                <w:b/>
                <w:sz w:val="18"/>
                <w:szCs w:val="18"/>
              </w:rPr>
              <w:t>The final exam is in the form of a test and consists of tasks and questions covering all material taught during the course. It carries a maximum of 50 points. Students must answer questions and complete tasks from each topic covered in the course.Make-up and additional make-up exams follow the same format and principles as the final exam.Students are also required to prepare and present a seminar paper, which carries a maximum of 10 points.The instructor will monitor student attendance throughout the semester using a specially designed form.</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54B2022" w14:textId="77777777" w:rsidR="00E37B2F" w:rsidRPr="00E37B2F" w:rsidRDefault="006D5B9B" w:rsidP="00E37B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7B2F" w:rsidRPr="00E37B2F">
              <w:rPr>
                <w:rFonts w:asciiTheme="majorHAnsi" w:hAnsiTheme="majorHAnsi" w:cs="Arial"/>
                <w:b/>
                <w:sz w:val="18"/>
                <w:szCs w:val="18"/>
              </w:rPr>
              <w:t>Criterion</w:t>
            </w:r>
            <w:r w:rsidR="00E37B2F" w:rsidRPr="00E37B2F">
              <w:rPr>
                <w:rFonts w:asciiTheme="majorHAnsi" w:hAnsiTheme="majorHAnsi" w:cs="Arial"/>
                <w:b/>
                <w:sz w:val="18"/>
                <w:szCs w:val="18"/>
              </w:rPr>
              <w:tab/>
              <w:t>Max Points</w:t>
            </w:r>
            <w:r w:rsidR="00E37B2F" w:rsidRPr="00E37B2F">
              <w:rPr>
                <w:rFonts w:asciiTheme="majorHAnsi" w:hAnsiTheme="majorHAnsi" w:cs="Arial"/>
                <w:b/>
                <w:sz w:val="18"/>
                <w:szCs w:val="18"/>
              </w:rPr>
              <w:tab/>
              <w:t>Points Required to Pass</w:t>
            </w:r>
          </w:p>
          <w:p w14:paraId="7E1C7843" w14:textId="77777777"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Participation in class</w:t>
            </w:r>
            <w:r w:rsidRPr="00E37B2F">
              <w:rPr>
                <w:rFonts w:asciiTheme="majorHAnsi" w:hAnsiTheme="majorHAnsi" w:cs="Arial"/>
                <w:b/>
                <w:sz w:val="18"/>
                <w:szCs w:val="18"/>
              </w:rPr>
              <w:tab/>
              <w:t>10</w:t>
            </w:r>
            <w:r w:rsidRPr="00E37B2F">
              <w:rPr>
                <w:rFonts w:asciiTheme="majorHAnsi" w:hAnsiTheme="majorHAnsi" w:cs="Arial"/>
                <w:b/>
                <w:sz w:val="18"/>
                <w:szCs w:val="18"/>
              </w:rPr>
              <w:tab/>
              <w:t>6</w:t>
            </w:r>
          </w:p>
          <w:p w14:paraId="253EA039" w14:textId="77777777"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Practical work</w:t>
            </w:r>
            <w:r w:rsidRPr="00E37B2F">
              <w:rPr>
                <w:rFonts w:asciiTheme="majorHAnsi" w:hAnsiTheme="majorHAnsi" w:cs="Arial"/>
                <w:b/>
                <w:sz w:val="18"/>
                <w:szCs w:val="18"/>
              </w:rPr>
              <w:tab/>
              <w:t>30</w:t>
            </w:r>
            <w:r w:rsidRPr="00E37B2F">
              <w:rPr>
                <w:rFonts w:asciiTheme="majorHAnsi" w:hAnsiTheme="majorHAnsi" w:cs="Arial"/>
                <w:b/>
                <w:sz w:val="18"/>
                <w:szCs w:val="18"/>
              </w:rPr>
              <w:tab/>
              <w:t>16</w:t>
            </w:r>
          </w:p>
          <w:p w14:paraId="6E95642D" w14:textId="77777777"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Test (Final Exam)</w:t>
            </w:r>
            <w:r w:rsidRPr="00E37B2F">
              <w:rPr>
                <w:rFonts w:asciiTheme="majorHAnsi" w:hAnsiTheme="majorHAnsi" w:cs="Arial"/>
                <w:b/>
                <w:sz w:val="18"/>
                <w:szCs w:val="18"/>
              </w:rPr>
              <w:tab/>
              <w:t>50</w:t>
            </w:r>
            <w:r w:rsidRPr="00E37B2F">
              <w:rPr>
                <w:rFonts w:asciiTheme="majorHAnsi" w:hAnsiTheme="majorHAnsi" w:cs="Arial"/>
                <w:b/>
                <w:sz w:val="18"/>
                <w:szCs w:val="18"/>
              </w:rPr>
              <w:tab/>
              <w:t>27</w:t>
            </w:r>
          </w:p>
          <w:p w14:paraId="7430F866" w14:textId="77777777"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Seminar paper</w:t>
            </w:r>
            <w:r w:rsidRPr="00E37B2F">
              <w:rPr>
                <w:rFonts w:asciiTheme="majorHAnsi" w:hAnsiTheme="majorHAnsi" w:cs="Arial"/>
                <w:b/>
                <w:sz w:val="18"/>
                <w:szCs w:val="18"/>
              </w:rPr>
              <w:tab/>
              <w:t>10</w:t>
            </w:r>
            <w:r w:rsidRPr="00E37B2F">
              <w:rPr>
                <w:rFonts w:asciiTheme="majorHAnsi" w:hAnsiTheme="majorHAnsi" w:cs="Arial"/>
                <w:b/>
                <w:sz w:val="18"/>
                <w:szCs w:val="18"/>
              </w:rPr>
              <w:tab/>
              <w:t>6</w:t>
            </w:r>
          </w:p>
          <w:p w14:paraId="603783D8" w14:textId="15B64A2F" w:rsidR="00CB72ED" w:rsidRPr="00B96B4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Total</w:t>
            </w:r>
            <w:r w:rsidRPr="00E37B2F">
              <w:rPr>
                <w:rFonts w:asciiTheme="majorHAnsi" w:hAnsiTheme="majorHAnsi" w:cs="Arial"/>
                <w:b/>
                <w:sz w:val="18"/>
                <w:szCs w:val="18"/>
              </w:rPr>
              <w:tab/>
              <w:t>100</w:t>
            </w:r>
            <w:r w:rsidRPr="00E37B2F">
              <w:rPr>
                <w:rFonts w:asciiTheme="majorHAnsi" w:hAnsiTheme="majorHAnsi" w:cs="Arial"/>
                <w:b/>
                <w:sz w:val="18"/>
                <w:szCs w:val="18"/>
              </w:rPr>
              <w:tab/>
              <w:t>55</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1B9C452" w14:textId="77777777" w:rsidR="00E37B2F" w:rsidRPr="00E37B2F" w:rsidRDefault="006D5B9B" w:rsidP="00E37B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7B2F" w:rsidRPr="00E37B2F">
              <w:rPr>
                <w:rFonts w:asciiTheme="majorHAnsi" w:hAnsiTheme="majorHAnsi" w:cs="Arial"/>
                <w:b/>
                <w:sz w:val="18"/>
                <w:szCs w:val="18"/>
              </w:rPr>
              <w:t>Points Earned</w:t>
            </w:r>
            <w:r w:rsidR="00E37B2F" w:rsidRPr="00E37B2F">
              <w:rPr>
                <w:rFonts w:asciiTheme="majorHAnsi" w:hAnsiTheme="majorHAnsi" w:cs="Arial"/>
                <w:b/>
                <w:sz w:val="18"/>
                <w:szCs w:val="18"/>
              </w:rPr>
              <w:tab/>
              <w:t>Grade (BiH)</w:t>
            </w:r>
            <w:r w:rsidR="00E37B2F" w:rsidRPr="00E37B2F">
              <w:rPr>
                <w:rFonts w:asciiTheme="majorHAnsi" w:hAnsiTheme="majorHAnsi" w:cs="Arial"/>
                <w:b/>
                <w:sz w:val="18"/>
                <w:szCs w:val="18"/>
              </w:rPr>
              <w:tab/>
              <w:t>ECTS Grade</w:t>
            </w:r>
          </w:p>
          <w:p w14:paraId="6EAD5348" w14:textId="1595F21A"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0 – 54</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5</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F</w:t>
            </w:r>
          </w:p>
          <w:p w14:paraId="0A60D4AA" w14:textId="5E0EC1DE"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55 – 64</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6</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E</w:t>
            </w:r>
          </w:p>
          <w:p w14:paraId="3FCB39A0" w14:textId="590E50BB"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65 – 74</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7</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D</w:t>
            </w:r>
          </w:p>
          <w:p w14:paraId="726E8DFB" w14:textId="4AAF8BD4"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75 – 84</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8</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C</w:t>
            </w:r>
          </w:p>
          <w:p w14:paraId="1649D4BE" w14:textId="732EB6A4"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85 – 94</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9</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B</w:t>
            </w:r>
          </w:p>
          <w:p w14:paraId="28F7BF18" w14:textId="2035E6D0" w:rsidR="00CB72ED" w:rsidRPr="00B96B4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95 – 100</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10</w:t>
            </w:r>
            <w:r w:rsidRPr="00E37B2F">
              <w:rPr>
                <w:rFonts w:asciiTheme="majorHAnsi" w:hAnsiTheme="majorHAnsi" w:cs="Arial"/>
                <w:b/>
                <w:sz w:val="18"/>
                <w:szCs w:val="18"/>
              </w:rPr>
              <w:tab/>
            </w:r>
            <w:r>
              <w:rPr>
                <w:rFonts w:asciiTheme="majorHAnsi" w:hAnsiTheme="majorHAnsi" w:cs="Arial"/>
                <w:b/>
                <w:sz w:val="18"/>
                <w:szCs w:val="18"/>
              </w:rPr>
              <w:t xml:space="preserve">          </w:t>
            </w:r>
            <w:r w:rsidRPr="00E37B2F">
              <w:rPr>
                <w:rFonts w:asciiTheme="majorHAnsi" w:hAnsiTheme="majorHAnsi" w:cs="Arial"/>
                <w:b/>
                <w:sz w:val="18"/>
                <w:szCs w:val="18"/>
              </w:rPr>
              <w:t>A</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EB1CE10" w14:textId="77777777" w:rsidR="00E37B2F" w:rsidRPr="00E37B2F" w:rsidRDefault="006D5B9B" w:rsidP="00E37B2F">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00E37B2F" w:rsidRPr="00E37B2F">
              <w:rPr>
                <w:rFonts w:asciiTheme="majorHAnsi" w:hAnsiTheme="majorHAnsi" w:cs="Arial"/>
                <w:b/>
                <w:sz w:val="18"/>
                <w:szCs w:val="18"/>
              </w:rPr>
              <w:t>P. Kirby, Write Correctly, Lit Library and Information Center.</w:t>
            </w:r>
          </w:p>
          <w:p w14:paraId="171E925C" w14:textId="77777777" w:rsidR="00E37B2F" w:rsidRPr="00E37B2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Željana Vučina, Searching and Evaluating Information on the Internet, CARNet – Croatian Academic and Research Network, 2006 (PDF).</w:t>
            </w:r>
          </w:p>
          <w:p w14:paraId="5B810824" w14:textId="0D3126FE" w:rsidR="00CB72ED" w:rsidRPr="00B96B4F" w:rsidRDefault="00E37B2F" w:rsidP="00E37B2F">
            <w:pPr>
              <w:pStyle w:val="NoSpacing"/>
              <w:rPr>
                <w:rFonts w:asciiTheme="majorHAnsi" w:hAnsiTheme="majorHAnsi" w:cs="Arial"/>
                <w:b/>
                <w:sz w:val="18"/>
                <w:szCs w:val="18"/>
              </w:rPr>
            </w:pPr>
            <w:r w:rsidRPr="00E37B2F">
              <w:rPr>
                <w:rFonts w:asciiTheme="majorHAnsi" w:hAnsiTheme="majorHAnsi" w:cs="Arial"/>
                <w:b/>
                <w:sz w:val="18"/>
                <w:szCs w:val="18"/>
              </w:rPr>
              <w:t>Tomislav Janović, Citing, Paraphrasing, and Referencing Sources in Academic Texts, University of Zadar, 2009 (PDF).</w:t>
            </w:r>
            <w:r w:rsidR="006D5B9B"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7EC24" w14:textId="77777777" w:rsidR="00FD6249" w:rsidRDefault="00FD6249">
      <w:pPr>
        <w:spacing w:line="240" w:lineRule="auto"/>
      </w:pPr>
      <w:r>
        <w:separator/>
      </w:r>
    </w:p>
  </w:endnote>
  <w:endnote w:type="continuationSeparator" w:id="0">
    <w:p w14:paraId="1EC59FE7" w14:textId="77777777" w:rsidR="00FD6249" w:rsidRDefault="00FD62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3E501119"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96435">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96435">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96435">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0CE44" w14:textId="77777777" w:rsidR="00FD6249" w:rsidRDefault="00FD6249">
      <w:pPr>
        <w:spacing w:after="0"/>
      </w:pPr>
      <w:r>
        <w:separator/>
      </w:r>
    </w:p>
  </w:footnote>
  <w:footnote w:type="continuationSeparator" w:id="0">
    <w:p w14:paraId="69A8F282" w14:textId="77777777" w:rsidR="00FD6249" w:rsidRDefault="00FD62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94C"/>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07567"/>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37B2F"/>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96435"/>
    <w:rsid w:val="00FA0538"/>
    <w:rsid w:val="00FA0582"/>
    <w:rsid w:val="00FA0ADB"/>
    <w:rsid w:val="00FA17DD"/>
    <w:rsid w:val="00FB48B6"/>
    <w:rsid w:val="00FC2571"/>
    <w:rsid w:val="00FC2E10"/>
    <w:rsid w:val="00FC783C"/>
    <w:rsid w:val="00FD6249"/>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503F-7C07-4F33-8299-7B46B60C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2026-03-13T09:31:00Z</dcterms:created>
  <dcterms:modified xsi:type="dcterms:W3CDTF">2026-03-13T09:31:00Z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